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2609" w:rsidRPr="00C34596" w:rsidRDefault="00E92609" w:rsidP="00E92609">
      <w:pPr>
        <w:spacing w:after="0" w:line="240" w:lineRule="auto"/>
        <w:jc w:val="center"/>
        <w:rPr>
          <w:b/>
          <w:sz w:val="28"/>
          <w:szCs w:val="28"/>
        </w:rPr>
      </w:pPr>
      <w:r w:rsidRPr="00C34596">
        <w:rPr>
          <w:b/>
          <w:sz w:val="28"/>
          <w:szCs w:val="28"/>
        </w:rPr>
        <w:t>NỘI DUNG</w:t>
      </w:r>
    </w:p>
    <w:p w:rsidR="007B73D3" w:rsidRPr="00C34596" w:rsidRDefault="00E92609" w:rsidP="00E92609">
      <w:pPr>
        <w:spacing w:after="0" w:line="240" w:lineRule="auto"/>
        <w:jc w:val="center"/>
        <w:rPr>
          <w:b/>
          <w:color w:val="0000FF"/>
          <w:sz w:val="28"/>
          <w:szCs w:val="28"/>
        </w:rPr>
      </w:pPr>
      <w:r w:rsidRPr="00C34596">
        <w:rPr>
          <w:b/>
          <w:color w:val="0000FF"/>
          <w:sz w:val="28"/>
          <w:szCs w:val="28"/>
        </w:rPr>
        <w:t xml:space="preserve">Đăng tải trên </w:t>
      </w:r>
      <w:r w:rsidR="007B73D3" w:rsidRPr="00C34596">
        <w:rPr>
          <w:b/>
          <w:color w:val="0000FF"/>
          <w:sz w:val="28"/>
          <w:szCs w:val="28"/>
        </w:rPr>
        <w:t xml:space="preserve">Cổng thông tin điện tử </w:t>
      </w:r>
      <w:r w:rsidR="0058022F" w:rsidRPr="00C34596">
        <w:rPr>
          <w:b/>
          <w:color w:val="0000FF"/>
          <w:sz w:val="28"/>
          <w:szCs w:val="28"/>
        </w:rPr>
        <w:t>lần 01</w:t>
      </w:r>
    </w:p>
    <w:p w:rsidR="00E92609" w:rsidRDefault="007B73D3" w:rsidP="0058022F">
      <w:pPr>
        <w:rPr>
          <w:sz w:val="28"/>
          <w:szCs w:val="28"/>
        </w:rPr>
      </w:pPr>
      <w:r w:rsidRPr="00AE4935">
        <w:rPr>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27467</wp:posOffset>
                </wp:positionV>
                <wp:extent cx="1733107"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8725B"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15pt" to="136.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pmQEAAIgDAAAOAAAAZHJzL2Uyb0RvYy54bWysU8tu2zAQvBfIPxC8x5ISo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" strokecolor="black [3200]" strokeweight=".5pt">
                <v:stroke joinstyle="miter"/>
                <w10:wrap anchorx="margin"/>
              </v:line>
            </w:pict>
          </mc:Fallback>
        </mc:AlternateContent>
      </w:r>
      <w:r w:rsidR="00E92609" w:rsidRPr="00AE4935">
        <w:rPr>
          <w:sz w:val="28"/>
          <w:szCs w:val="28"/>
        </w:rPr>
        <w:t xml:space="preserve"> </w:t>
      </w:r>
    </w:p>
    <w:p w:rsidR="009F7B8D" w:rsidRPr="006E49F7" w:rsidRDefault="00D81366" w:rsidP="00C34596">
      <w:pPr>
        <w:spacing w:after="0"/>
        <w:jc w:val="center"/>
        <w:rPr>
          <w:b/>
          <w:color w:val="FF0000"/>
          <w:sz w:val="28"/>
          <w:szCs w:val="28"/>
        </w:rPr>
      </w:pPr>
      <w:r>
        <w:rPr>
          <w:b/>
          <w:color w:val="0000FF"/>
          <w:sz w:val="28"/>
          <w:szCs w:val="28"/>
        </w:rPr>
        <w:t xml:space="preserve">Trung tâm Phát triển quỹ đất tỉnh </w:t>
      </w:r>
      <w:r w:rsidR="00183401" w:rsidRPr="006E49F7">
        <w:rPr>
          <w:b/>
          <w:color w:val="0000FF"/>
          <w:sz w:val="28"/>
          <w:szCs w:val="28"/>
        </w:rPr>
        <w:t xml:space="preserve">Hậu Giang </w:t>
      </w:r>
      <w:r>
        <w:rPr>
          <w:b/>
          <w:color w:val="0000FF"/>
          <w:sz w:val="28"/>
          <w:szCs w:val="28"/>
        </w:rPr>
        <w:t xml:space="preserve">đã hoàn thành </w:t>
      </w:r>
      <w:r w:rsidR="009F7B8D" w:rsidRPr="006E49F7">
        <w:rPr>
          <w:b/>
          <w:color w:val="0000FF"/>
          <w:sz w:val="28"/>
          <w:szCs w:val="28"/>
        </w:rPr>
        <w:t xml:space="preserve">bàn giao </w:t>
      </w:r>
      <w:r>
        <w:rPr>
          <w:b/>
          <w:color w:val="0000FF"/>
          <w:sz w:val="28"/>
          <w:szCs w:val="28"/>
        </w:rPr>
        <w:t xml:space="preserve">mặt bằng đợt 1 </w:t>
      </w:r>
      <w:r w:rsidR="009F7B8D" w:rsidRPr="006E49F7">
        <w:rPr>
          <w:b/>
          <w:color w:val="0000FF"/>
          <w:sz w:val="28"/>
          <w:szCs w:val="28"/>
        </w:rPr>
        <w:t xml:space="preserve">Dự án Thành phần 3 thuộc Dự án đầu tư xây dựng công trình đường bộ Cao tốc Châu Đốc - Cần Thơ - Sóc Trăng giai đoạn 1 </w:t>
      </w:r>
    </w:p>
    <w:p w:rsidR="00D81366" w:rsidRDefault="00D81366" w:rsidP="00AE4935">
      <w:pPr>
        <w:tabs>
          <w:tab w:val="left" w:pos="567"/>
        </w:tabs>
        <w:spacing w:before="120" w:after="120"/>
        <w:ind w:firstLine="709"/>
        <w:jc w:val="both"/>
        <w:rPr>
          <w:sz w:val="28"/>
          <w:szCs w:val="28"/>
          <w:lang w:val="pt-BR"/>
        </w:rPr>
      </w:pPr>
      <w:r>
        <w:rPr>
          <w:sz w:val="28"/>
          <w:szCs w:val="28"/>
          <w:lang w:val="pt-BR"/>
        </w:rPr>
        <w:t xml:space="preserve">Dự án Thành phần 3 </w:t>
      </w:r>
      <w:r>
        <w:rPr>
          <w:spacing w:val="-4"/>
          <w:sz w:val="28"/>
          <w:szCs w:val="28"/>
        </w:rPr>
        <w:t xml:space="preserve">thuộc </w:t>
      </w:r>
      <w:r w:rsidRPr="00423158">
        <w:rPr>
          <w:sz w:val="28"/>
          <w:szCs w:val="28"/>
        </w:rPr>
        <w:t>Dự án đầu tư xây dựng công trình đường bộ Cao tốc Châu Đốc - Cần Thơ - Sóc Trăng</w:t>
      </w:r>
      <w:r>
        <w:rPr>
          <w:sz w:val="28"/>
          <w:szCs w:val="28"/>
        </w:rPr>
        <w:t>,</w:t>
      </w:r>
      <w:r w:rsidRPr="00423158">
        <w:rPr>
          <w:sz w:val="28"/>
          <w:szCs w:val="28"/>
        </w:rPr>
        <w:t xml:space="preserve"> giai đoạn 1</w:t>
      </w:r>
      <w:r>
        <w:rPr>
          <w:sz w:val="28"/>
          <w:szCs w:val="28"/>
          <w:lang w:val="pt-BR"/>
        </w:rPr>
        <w:t xml:space="preserve"> đoạn </w:t>
      </w:r>
      <w:r w:rsidRPr="00AE4935">
        <w:rPr>
          <w:sz w:val="28"/>
          <w:szCs w:val="28"/>
          <w:lang w:val="pt-BR"/>
        </w:rPr>
        <w:t>đi qua địa bàn tỉnh Hậu Giang có chiều dài khoảng 37km</w:t>
      </w:r>
      <w:r>
        <w:rPr>
          <w:sz w:val="28"/>
          <w:szCs w:val="28"/>
          <w:lang w:val="pt-BR"/>
        </w:rPr>
        <w:t xml:space="preserve">, </w:t>
      </w:r>
      <w:r w:rsidRPr="00AE4935">
        <w:rPr>
          <w:sz w:val="28"/>
          <w:szCs w:val="28"/>
          <w:lang w:val="pt-BR"/>
        </w:rPr>
        <w:t>diện tích đất thu hồi khoảng 260,34ha</w:t>
      </w:r>
      <w:r>
        <w:rPr>
          <w:sz w:val="28"/>
          <w:szCs w:val="28"/>
          <w:lang w:val="pt-BR"/>
        </w:rPr>
        <w:t xml:space="preserve"> </w:t>
      </w:r>
      <w:r w:rsidRPr="00AE4935">
        <w:rPr>
          <w:sz w:val="28"/>
          <w:szCs w:val="28"/>
          <w:lang w:val="pt-BR"/>
        </w:rPr>
        <w:t xml:space="preserve">  vớ</w:t>
      </w:r>
      <w:r>
        <w:rPr>
          <w:sz w:val="28"/>
          <w:szCs w:val="28"/>
          <w:lang w:val="pt-BR"/>
        </w:rPr>
        <w:t>i 1.118</w:t>
      </w:r>
      <w:r w:rsidRPr="00AE4935">
        <w:rPr>
          <w:sz w:val="28"/>
          <w:szCs w:val="28"/>
          <w:lang w:val="pt-BR"/>
        </w:rPr>
        <w:t xml:space="preserve"> hộ dân bị ảnh hưởng</w:t>
      </w:r>
      <w:r>
        <w:rPr>
          <w:sz w:val="28"/>
          <w:szCs w:val="28"/>
          <w:lang w:val="pt-BR"/>
        </w:rPr>
        <w:t>.</w:t>
      </w:r>
    </w:p>
    <w:p w:rsidR="00D81366" w:rsidRDefault="00D81366" w:rsidP="00AE4935">
      <w:pPr>
        <w:tabs>
          <w:tab w:val="left" w:pos="567"/>
        </w:tabs>
        <w:spacing w:before="120" w:after="120"/>
        <w:ind w:firstLine="709"/>
        <w:jc w:val="both"/>
        <w:rPr>
          <w:sz w:val="28"/>
          <w:szCs w:val="28"/>
        </w:rPr>
      </w:pPr>
      <w:r w:rsidRPr="009F7540">
        <w:rPr>
          <w:sz w:val="28"/>
          <w:szCs w:val="28"/>
        </w:rPr>
        <w:t xml:space="preserve">Nghị quyết </w:t>
      </w:r>
      <w:r w:rsidRPr="00470961">
        <w:rPr>
          <w:sz w:val="28"/>
          <w:szCs w:val="28"/>
        </w:rPr>
        <w:t xml:space="preserve">số 91/NQ-CP </w:t>
      </w:r>
      <w:r w:rsidRPr="009F7540">
        <w:rPr>
          <w:sz w:val="28"/>
          <w:szCs w:val="28"/>
        </w:rPr>
        <w:t>ngày 25</w:t>
      </w:r>
      <w:r>
        <w:rPr>
          <w:sz w:val="28"/>
          <w:szCs w:val="28"/>
        </w:rPr>
        <w:t>/</w:t>
      </w:r>
      <w:r w:rsidRPr="009F7540">
        <w:rPr>
          <w:sz w:val="28"/>
          <w:szCs w:val="28"/>
        </w:rPr>
        <w:t>7</w:t>
      </w:r>
      <w:r>
        <w:rPr>
          <w:sz w:val="28"/>
          <w:szCs w:val="28"/>
        </w:rPr>
        <w:t>/</w:t>
      </w:r>
      <w:r w:rsidRPr="009F7540">
        <w:rPr>
          <w:sz w:val="28"/>
          <w:szCs w:val="28"/>
        </w:rPr>
        <w:t>2022 của Chính phủ</w:t>
      </w:r>
      <w:r w:rsidRPr="00183401">
        <w:rPr>
          <w:sz w:val="28"/>
          <w:szCs w:val="28"/>
        </w:rPr>
        <w:t xml:space="preserve"> </w:t>
      </w:r>
      <w:r>
        <w:rPr>
          <w:sz w:val="28"/>
          <w:szCs w:val="28"/>
        </w:rPr>
        <w:t>quy định đến hết tháng 6 năm 2023 các địa phương phải bàn giao mặt bằng 70% diện tích đ</w:t>
      </w:r>
      <w:r w:rsidR="00B17E12">
        <w:rPr>
          <w:sz w:val="28"/>
          <w:szCs w:val="28"/>
        </w:rPr>
        <w:t>ấ</w:t>
      </w:r>
      <w:r>
        <w:rPr>
          <w:sz w:val="28"/>
          <w:szCs w:val="28"/>
        </w:rPr>
        <w:t xml:space="preserve">t để khởi công dự án. </w:t>
      </w:r>
    </w:p>
    <w:p w:rsidR="00AE4935" w:rsidRDefault="00D81366" w:rsidP="00D81366">
      <w:pPr>
        <w:tabs>
          <w:tab w:val="left" w:pos="567"/>
        </w:tabs>
        <w:spacing w:before="120" w:after="120"/>
        <w:ind w:firstLine="709"/>
        <w:jc w:val="both"/>
        <w:rPr>
          <w:sz w:val="28"/>
          <w:szCs w:val="28"/>
          <w:lang w:val="pt-BR"/>
        </w:rPr>
      </w:pPr>
      <w:r>
        <w:rPr>
          <w:sz w:val="28"/>
          <w:szCs w:val="28"/>
        </w:rPr>
        <w:t xml:space="preserve">Trên tinh thần quyết tâm, Trung tâm Phát triển quỹ đất tỉnh Hậu Giang đã tham mưu các ngành chức năng đề xuất cơ quan thẩm quyền </w:t>
      </w:r>
      <w:r w:rsidR="00AE4935" w:rsidRPr="00AE4935">
        <w:rPr>
          <w:sz w:val="28"/>
          <w:szCs w:val="28"/>
          <w:lang w:val="pt-BR"/>
        </w:rPr>
        <w:t>thành lập Ban Chỉ đạo thực hiện công tác bồi thường, hỗ trợ, tái định cư cấp tỉnh do đồng chí Bí thư Tỉnh ủy làm Trưởng ban và đã chỉ đạo thành lập Ban Chỉ đạo thực hiện công tác bồi thường, hỗ trợ, tái định cư cấp huyện do đồng chí Bí thư cấp huyện làm Trưởng ban</w:t>
      </w:r>
      <w:r>
        <w:rPr>
          <w:sz w:val="28"/>
          <w:szCs w:val="28"/>
          <w:lang w:val="pt-BR"/>
        </w:rPr>
        <w:t xml:space="preserve">. </w:t>
      </w:r>
      <w:r w:rsidRPr="00AE4935">
        <w:rPr>
          <w:sz w:val="28"/>
          <w:szCs w:val="28"/>
          <w:lang w:val="pt-BR"/>
        </w:rPr>
        <w:t xml:space="preserve">Đồng </w:t>
      </w:r>
      <w:r w:rsidR="00AE4935" w:rsidRPr="00AE4935">
        <w:rPr>
          <w:sz w:val="28"/>
          <w:szCs w:val="28"/>
          <w:lang w:val="pt-BR"/>
        </w:rPr>
        <w:t xml:space="preserve">thời </w:t>
      </w:r>
      <w:r>
        <w:rPr>
          <w:sz w:val="28"/>
          <w:szCs w:val="28"/>
          <w:lang w:val="pt-BR"/>
        </w:rPr>
        <w:t xml:space="preserve">đã phối hợp với các ngành, huyện Châu Thành A và Phụng Hiệp </w:t>
      </w:r>
      <w:r w:rsidR="00AE4935" w:rsidRPr="00AE4935">
        <w:rPr>
          <w:sz w:val="28"/>
          <w:szCs w:val="28"/>
          <w:lang w:val="pt-BR"/>
        </w:rPr>
        <w:t xml:space="preserve">tập trung triển khai ngay công tác bồi thường, hỗ trợ, tái định cư với sự vào cuộc mạnh mẽ của cả hệ thống chính trị. </w:t>
      </w:r>
    </w:p>
    <w:p w:rsidR="003E66FE" w:rsidRDefault="00AE4935" w:rsidP="00B17E12">
      <w:pPr>
        <w:tabs>
          <w:tab w:val="left" w:pos="567"/>
        </w:tabs>
        <w:spacing w:before="120" w:after="120"/>
        <w:ind w:firstLine="709"/>
        <w:jc w:val="both"/>
        <w:rPr>
          <w:bCs/>
          <w:sz w:val="28"/>
          <w:szCs w:val="28"/>
          <w:lang w:val="pt-BR" w:eastAsia="x-none"/>
        </w:rPr>
      </w:pPr>
      <w:r w:rsidRPr="00B17E12">
        <w:rPr>
          <w:sz w:val="28"/>
          <w:szCs w:val="28"/>
          <w:lang w:val="pt-BR"/>
        </w:rPr>
        <w:t>Đến nay đã kiểm đế</w:t>
      </w:r>
      <w:r w:rsidR="007736B2" w:rsidRPr="00B17E12">
        <w:rPr>
          <w:sz w:val="28"/>
          <w:szCs w:val="28"/>
          <w:lang w:val="pt-BR"/>
        </w:rPr>
        <w:t>m xong 1.118</w:t>
      </w:r>
      <w:r w:rsidRPr="00B17E12">
        <w:rPr>
          <w:sz w:val="28"/>
          <w:szCs w:val="28"/>
          <w:lang w:val="pt-BR"/>
        </w:rPr>
        <w:t xml:space="preserve"> hộ dân bị ảnh hưởng, đạt 100%; </w:t>
      </w:r>
      <w:r w:rsidR="007736B2" w:rsidRPr="00B17E12">
        <w:rPr>
          <w:sz w:val="28"/>
          <w:szCs w:val="28"/>
          <w:lang w:val="pt-BR"/>
        </w:rPr>
        <w:t xml:space="preserve">đã </w:t>
      </w:r>
      <w:r w:rsidR="00B17E12">
        <w:rPr>
          <w:sz w:val="28"/>
          <w:szCs w:val="28"/>
          <w:lang w:val="pt-BR"/>
        </w:rPr>
        <w:t xml:space="preserve">lập xong phương án </w:t>
      </w:r>
      <w:r w:rsidR="00B17E12" w:rsidRPr="00B17E12">
        <w:rPr>
          <w:sz w:val="28"/>
          <w:szCs w:val="28"/>
          <w:lang w:val="pt-BR"/>
        </w:rPr>
        <w:t xml:space="preserve">bồi thường, hỗ trợ, tái định cư </w:t>
      </w:r>
      <w:r w:rsidR="00B17E12">
        <w:rPr>
          <w:sz w:val="28"/>
          <w:szCs w:val="28"/>
          <w:lang w:val="pt-BR"/>
        </w:rPr>
        <w:t xml:space="preserve">và </w:t>
      </w:r>
      <w:r w:rsidR="00B17E12" w:rsidRPr="00B17E12">
        <w:rPr>
          <w:sz w:val="28"/>
          <w:szCs w:val="28"/>
          <w:lang w:val="pt-BR"/>
        </w:rPr>
        <w:t xml:space="preserve">đề nghị </w:t>
      </w:r>
      <w:r w:rsidR="007736B2" w:rsidRPr="00B17E12">
        <w:rPr>
          <w:sz w:val="28"/>
          <w:szCs w:val="28"/>
          <w:lang w:val="pt-BR"/>
        </w:rPr>
        <w:t xml:space="preserve">phê duyệt cho </w:t>
      </w:r>
      <w:r w:rsidR="00B17E12" w:rsidRPr="00B17E12">
        <w:rPr>
          <w:bCs/>
          <w:sz w:val="28"/>
          <w:szCs w:val="28"/>
          <w:lang w:val="pt-BR" w:eastAsia="x-none"/>
        </w:rPr>
        <w:t>980 hộ dân bị ảnh hưởng với số tiền là 649,6 tỷ đồng, diện tích là 228,84ha/260,34ha, bằng 87,7% diện tích đất phải thu hồi</w:t>
      </w:r>
      <w:r w:rsidR="003E66FE">
        <w:rPr>
          <w:bCs/>
          <w:sz w:val="28"/>
          <w:szCs w:val="28"/>
          <w:lang w:val="pt-BR" w:eastAsia="x-none"/>
        </w:rPr>
        <w:t>.</w:t>
      </w:r>
    </w:p>
    <w:p w:rsidR="00B17E12" w:rsidRDefault="00B17E12" w:rsidP="00B17E12">
      <w:pPr>
        <w:tabs>
          <w:tab w:val="left" w:pos="567"/>
        </w:tabs>
        <w:spacing w:before="120" w:after="120"/>
        <w:ind w:firstLine="709"/>
        <w:jc w:val="both"/>
        <w:rPr>
          <w:sz w:val="28"/>
          <w:szCs w:val="28"/>
        </w:rPr>
      </w:pPr>
      <w:r w:rsidRPr="00B17E12">
        <w:rPr>
          <w:bCs/>
          <w:sz w:val="28"/>
          <w:szCs w:val="28"/>
          <w:lang w:val="pt-BR" w:eastAsia="x-none"/>
        </w:rPr>
        <w:t>Đến nay đã chi trả bồi thường 889 hộ dân</w:t>
      </w:r>
      <w:r w:rsidR="003E66FE">
        <w:rPr>
          <w:bCs/>
          <w:sz w:val="28"/>
          <w:szCs w:val="28"/>
          <w:lang w:val="pt-BR" w:eastAsia="x-none"/>
        </w:rPr>
        <w:t>,</w:t>
      </w:r>
      <w:r w:rsidRPr="00B17E12">
        <w:rPr>
          <w:bCs/>
          <w:sz w:val="28"/>
          <w:szCs w:val="28"/>
          <w:lang w:val="pt-BR" w:eastAsia="x-none"/>
        </w:rPr>
        <w:t xml:space="preserve"> bàn giao mặt bằng diện tích là 220,24ha/260,34ha tổng diện tích đất phải thu hồi, đạt tỷ lệ 8</w:t>
      </w:r>
      <w:r w:rsidR="003E66FE">
        <w:rPr>
          <w:bCs/>
          <w:sz w:val="28"/>
          <w:szCs w:val="28"/>
          <w:lang w:val="pt-BR" w:eastAsia="x-none"/>
        </w:rPr>
        <w:t>4,6</w:t>
      </w:r>
      <w:r w:rsidRPr="00B17E12">
        <w:rPr>
          <w:bCs/>
          <w:sz w:val="28"/>
          <w:szCs w:val="28"/>
          <w:lang w:val="pt-BR" w:eastAsia="x-none"/>
        </w:rPr>
        <w:t xml:space="preserve">%; hoàn thành sớm hơn và vượt khối lượng theo </w:t>
      </w:r>
      <w:r w:rsidRPr="00B17E12">
        <w:rPr>
          <w:sz w:val="28"/>
          <w:szCs w:val="28"/>
        </w:rPr>
        <w:t xml:space="preserve">Nghị quyết số </w:t>
      </w:r>
      <w:r w:rsidR="00B4380F" w:rsidRPr="00B17E12">
        <w:rPr>
          <w:sz w:val="28"/>
          <w:szCs w:val="28"/>
        </w:rPr>
        <w:t>91/NQ-CP ngày 25</w:t>
      </w:r>
      <w:r>
        <w:rPr>
          <w:sz w:val="28"/>
          <w:szCs w:val="28"/>
        </w:rPr>
        <w:t>/</w:t>
      </w:r>
      <w:r w:rsidR="00B4380F" w:rsidRPr="00B17E12">
        <w:rPr>
          <w:sz w:val="28"/>
          <w:szCs w:val="28"/>
        </w:rPr>
        <w:t>7</w:t>
      </w:r>
      <w:r>
        <w:rPr>
          <w:sz w:val="28"/>
          <w:szCs w:val="28"/>
        </w:rPr>
        <w:t>/</w:t>
      </w:r>
      <w:r w:rsidR="00B4380F" w:rsidRPr="00B17E12">
        <w:rPr>
          <w:sz w:val="28"/>
          <w:szCs w:val="28"/>
        </w:rPr>
        <w:t>2022 của Chính phủ</w:t>
      </w:r>
      <w:r>
        <w:rPr>
          <w:sz w:val="28"/>
          <w:szCs w:val="28"/>
        </w:rPr>
        <w:t xml:space="preserve">, góp phần </w:t>
      </w:r>
      <w:r w:rsidR="003E66FE">
        <w:rPr>
          <w:sz w:val="28"/>
          <w:szCs w:val="28"/>
        </w:rPr>
        <w:t xml:space="preserve">để </w:t>
      </w:r>
      <w:r>
        <w:rPr>
          <w:sz w:val="28"/>
          <w:szCs w:val="28"/>
        </w:rPr>
        <w:t>Dự án khởi công vào ngày 17/6/2023 vừa qua</w:t>
      </w:r>
      <w:r w:rsidR="00B4380F" w:rsidRPr="00B17E12">
        <w:rPr>
          <w:sz w:val="28"/>
          <w:szCs w:val="28"/>
        </w:rPr>
        <w:t>.</w:t>
      </w:r>
      <w:r w:rsidR="003E66FE">
        <w:rPr>
          <w:sz w:val="28"/>
          <w:szCs w:val="28"/>
        </w:rPr>
        <w:t>/.</w:t>
      </w:r>
    </w:p>
    <w:p w:rsidR="00200F8C" w:rsidRPr="00AE4935" w:rsidRDefault="004973A1" w:rsidP="00B17E12">
      <w:pPr>
        <w:tabs>
          <w:tab w:val="left" w:pos="567"/>
        </w:tabs>
        <w:spacing w:before="120" w:after="120"/>
        <w:ind w:firstLine="709"/>
        <w:jc w:val="center"/>
        <w:rPr>
          <w:rFonts w:cs="Times New Roman"/>
          <w:sz w:val="28"/>
          <w:szCs w:val="28"/>
        </w:rPr>
      </w:pPr>
      <w:r w:rsidRPr="004973A1">
        <w:rPr>
          <w:i/>
          <w:sz w:val="28"/>
          <w:szCs w:val="28"/>
        </w:rPr>
        <w:t>HẾT</w:t>
      </w:r>
    </w:p>
    <w:sectPr w:rsidR="00200F8C" w:rsidRPr="00AE4935" w:rsidSect="000226CE">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CA"/>
    <w:rsid w:val="00002E11"/>
    <w:rsid w:val="000226CE"/>
    <w:rsid w:val="00050FCA"/>
    <w:rsid w:val="000E03CB"/>
    <w:rsid w:val="00166007"/>
    <w:rsid w:val="00183401"/>
    <w:rsid w:val="001A1601"/>
    <w:rsid w:val="00200F8C"/>
    <w:rsid w:val="00305A9C"/>
    <w:rsid w:val="00325AD1"/>
    <w:rsid w:val="00393856"/>
    <w:rsid w:val="003A3910"/>
    <w:rsid w:val="003E66FE"/>
    <w:rsid w:val="00470961"/>
    <w:rsid w:val="00472321"/>
    <w:rsid w:val="00475B86"/>
    <w:rsid w:val="004973A1"/>
    <w:rsid w:val="0058022F"/>
    <w:rsid w:val="005F7B77"/>
    <w:rsid w:val="00625A4F"/>
    <w:rsid w:val="006E49F7"/>
    <w:rsid w:val="007130BE"/>
    <w:rsid w:val="00747007"/>
    <w:rsid w:val="007736B2"/>
    <w:rsid w:val="007B73D3"/>
    <w:rsid w:val="008632B6"/>
    <w:rsid w:val="008D36FC"/>
    <w:rsid w:val="0095349F"/>
    <w:rsid w:val="00953E6E"/>
    <w:rsid w:val="009A260F"/>
    <w:rsid w:val="009A6533"/>
    <w:rsid w:val="009F7B8D"/>
    <w:rsid w:val="00A47F92"/>
    <w:rsid w:val="00AE0B53"/>
    <w:rsid w:val="00AE4935"/>
    <w:rsid w:val="00B17E12"/>
    <w:rsid w:val="00B27BC7"/>
    <w:rsid w:val="00B4380F"/>
    <w:rsid w:val="00B50E53"/>
    <w:rsid w:val="00B87AC3"/>
    <w:rsid w:val="00C34596"/>
    <w:rsid w:val="00CC59ED"/>
    <w:rsid w:val="00D81366"/>
    <w:rsid w:val="00D847AB"/>
    <w:rsid w:val="00DA549D"/>
    <w:rsid w:val="00DB7126"/>
    <w:rsid w:val="00E052E6"/>
    <w:rsid w:val="00E17E56"/>
    <w:rsid w:val="00E92609"/>
    <w:rsid w:val="00ED21C8"/>
    <w:rsid w:val="00F042DB"/>
    <w:rsid w:val="00F3063F"/>
    <w:rsid w:val="00F509CA"/>
    <w:rsid w:val="00F77021"/>
    <w:rsid w:val="00FC2089"/>
    <w:rsid w:val="00FE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6DF8B-50C6-4633-9C75-F75E11A3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1C8"/>
    <w:rPr>
      <w:rFonts w:ascii="Segoe UI" w:hAnsi="Segoe UI" w:cs="Segoe UI"/>
      <w:sz w:val="18"/>
      <w:szCs w:val="18"/>
    </w:rPr>
  </w:style>
  <w:style w:type="paragraph" w:styleId="ListParagraph">
    <w:name w:val="List Paragraph"/>
    <w:basedOn w:val="Normal"/>
    <w:uiPriority w:val="34"/>
    <w:qFormat/>
    <w:rsid w:val="0095349F"/>
    <w:pPr>
      <w:ind w:left="720"/>
      <w:contextualSpacing/>
    </w:pPr>
  </w:style>
  <w:style w:type="paragraph" w:styleId="BodyTextIndent">
    <w:name w:val="Body Text Indent"/>
    <w:basedOn w:val="Normal"/>
    <w:link w:val="BodyTextIndentChar"/>
    <w:rsid w:val="00AE4935"/>
    <w:pPr>
      <w:spacing w:after="120" w:line="240" w:lineRule="auto"/>
      <w:jc w:val="both"/>
    </w:pPr>
    <w:rPr>
      <w:rFonts w:eastAsia="Times New Roman" w:cs="Times New Roman"/>
      <w:b/>
      <w:bCs/>
      <w:sz w:val="28"/>
      <w:szCs w:val="28"/>
    </w:rPr>
  </w:style>
  <w:style w:type="character" w:customStyle="1" w:styleId="BodyTextIndentChar">
    <w:name w:val="Body Text Indent Char"/>
    <w:basedOn w:val="DefaultParagraphFont"/>
    <w:link w:val="BodyTextIndent"/>
    <w:rsid w:val="00AE4935"/>
    <w:rPr>
      <w:rFonts w:eastAsia="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C565-DBBD-4570-8F7C-E2A9E6E7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2023-06-20T03:23:00Z</cp:lastPrinted>
  <dcterms:created xsi:type="dcterms:W3CDTF">2023-06-20T07:58:00Z</dcterms:created>
  <dcterms:modified xsi:type="dcterms:W3CDTF">2023-06-20T07:58:00Z</dcterms:modified>
</cp:coreProperties>
</file>